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03BF" w14:textId="31273C3F" w:rsidR="00720DF7" w:rsidRDefault="00EC4613" w:rsidP="00EC4613">
      <w:pPr>
        <w:ind w:left="-720"/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2B50F42" wp14:editId="77171251">
            <wp:extent cx="2087713" cy="995881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2" t="15894" r="2852" b="33470"/>
                    <a:stretch/>
                  </pic:blipFill>
                  <pic:spPr bwMode="auto">
                    <a:xfrm>
                      <a:off x="0" y="0"/>
                      <a:ext cx="2115670" cy="1009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4ECF">
        <w:rPr>
          <w:b/>
          <w:bCs/>
        </w:rPr>
        <w:t xml:space="preserve">                             </w:t>
      </w:r>
      <w:r w:rsidR="00720DF7">
        <w:rPr>
          <w:noProof/>
        </w:rPr>
        <w:drawing>
          <wp:inline distT="0" distB="0" distL="0" distR="0" wp14:anchorId="690906B4" wp14:editId="091DC3A9">
            <wp:extent cx="1281691" cy="638175"/>
            <wp:effectExtent l="0" t="0" r="0" b="0"/>
            <wp:docPr id="671772292" name="Picture 67177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91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DF7">
        <w:rPr>
          <w:noProof/>
        </w:rPr>
        <w:drawing>
          <wp:inline distT="0" distB="0" distL="0" distR="0" wp14:anchorId="7C61A2C6" wp14:editId="0CAD5EEA">
            <wp:extent cx="628650" cy="628650"/>
            <wp:effectExtent l="0" t="0" r="0" b="0"/>
            <wp:docPr id="554414199" name="Picture 554414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DF7">
        <w:rPr>
          <w:noProof/>
        </w:rPr>
        <w:drawing>
          <wp:inline distT="0" distB="0" distL="0" distR="0" wp14:anchorId="373239B6" wp14:editId="36130F64">
            <wp:extent cx="1019175" cy="393884"/>
            <wp:effectExtent l="0" t="0" r="0" b="0"/>
            <wp:docPr id="67651673" name="Picture 6765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9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77DFA" w14:textId="7E782D99" w:rsidR="00720DF7" w:rsidRPr="0076738C" w:rsidRDefault="00720DF7" w:rsidP="091DC3A9">
      <w:pPr>
        <w:ind w:left="-810"/>
        <w:jc w:val="center"/>
        <w:rPr>
          <w:b/>
          <w:bCs/>
        </w:rPr>
      </w:pPr>
    </w:p>
    <w:p w14:paraId="63828A5F" w14:textId="53BC0BB0" w:rsidR="00720DF7" w:rsidRDefault="091DC3A9" w:rsidP="091DC3A9">
      <w:pPr>
        <w:ind w:left="-810"/>
        <w:jc w:val="center"/>
        <w:rPr>
          <w:b/>
          <w:bCs/>
        </w:rPr>
      </w:pPr>
      <w:r w:rsidRPr="091DC3A9">
        <w:rPr>
          <w:b/>
          <w:bCs/>
        </w:rPr>
        <w:t xml:space="preserve"> </w:t>
      </w:r>
    </w:p>
    <w:p w14:paraId="17CFDE50" w14:textId="6325324B" w:rsidR="00720DF7" w:rsidRDefault="76D6AA82" w:rsidP="091DC3A9">
      <w:pPr>
        <w:ind w:left="-810"/>
        <w:jc w:val="right"/>
        <w:rPr>
          <w:b/>
          <w:bCs/>
        </w:rPr>
      </w:pPr>
      <w:r w:rsidRPr="76D6AA82">
        <w:rPr>
          <w:b/>
          <w:bCs/>
        </w:rPr>
        <w:t>1</w:t>
      </w:r>
      <w:r w:rsidR="0068304A" w:rsidRPr="0076738C">
        <w:rPr>
          <w:b/>
          <w:bCs/>
        </w:rPr>
        <w:t>3</w:t>
      </w:r>
      <w:r w:rsidRPr="76D6AA82">
        <w:rPr>
          <w:b/>
          <w:bCs/>
        </w:rPr>
        <w:t>/1</w:t>
      </w:r>
      <w:r w:rsidR="0068304A" w:rsidRPr="0076738C">
        <w:rPr>
          <w:b/>
          <w:bCs/>
        </w:rPr>
        <w:t>2</w:t>
      </w:r>
      <w:r w:rsidRPr="76D6AA82">
        <w:rPr>
          <w:b/>
          <w:bCs/>
        </w:rPr>
        <w:t>/2021</w:t>
      </w:r>
    </w:p>
    <w:p w14:paraId="579D341D" w14:textId="242B3577" w:rsidR="00720DF7" w:rsidRDefault="00720DF7" w:rsidP="00680841">
      <w:pPr>
        <w:rPr>
          <w:b/>
          <w:bCs/>
        </w:rPr>
      </w:pPr>
    </w:p>
    <w:p w14:paraId="297034B9" w14:textId="71ACDADD" w:rsidR="00720DF7" w:rsidRPr="00167717" w:rsidRDefault="091DC3A9" w:rsidP="0B6CE454">
      <w:pPr>
        <w:ind w:left="-810"/>
        <w:jc w:val="center"/>
        <w:rPr>
          <w:b/>
          <w:bCs/>
        </w:rPr>
      </w:pPr>
      <w:r w:rsidRPr="091DC3A9">
        <w:rPr>
          <w:b/>
          <w:bCs/>
        </w:rPr>
        <w:t xml:space="preserve">   ΔΕΛΤΙΟ ΤΥΠΟΥ </w:t>
      </w:r>
    </w:p>
    <w:p w14:paraId="42FB5C87" w14:textId="2DE44EC5" w:rsidR="00720DF7" w:rsidRDefault="00720DF7" w:rsidP="0B6CE454">
      <w:pPr>
        <w:ind w:left="-1080" w:right="-270"/>
        <w:jc w:val="center"/>
      </w:pPr>
    </w:p>
    <w:p w14:paraId="040E5360" w14:textId="77777777" w:rsidR="000D38A5" w:rsidRDefault="00441CEF" w:rsidP="00680841">
      <w:pPr>
        <w:jc w:val="center"/>
        <w:rPr>
          <w:b/>
          <w:bCs/>
        </w:rPr>
      </w:pPr>
      <w:r w:rsidRPr="00680841">
        <w:rPr>
          <w:b/>
          <w:bCs/>
        </w:rPr>
        <w:t>Ο</w:t>
      </w:r>
      <w:r w:rsidR="00680841" w:rsidRPr="00680841">
        <w:rPr>
          <w:b/>
          <w:bCs/>
        </w:rPr>
        <w:t xml:space="preserve">ι </w:t>
      </w:r>
      <w:r w:rsidRPr="00680841">
        <w:rPr>
          <w:b/>
          <w:bCs/>
        </w:rPr>
        <w:t xml:space="preserve">Μεταφορές και </w:t>
      </w:r>
      <w:r w:rsidR="00680841">
        <w:rPr>
          <w:b/>
          <w:bCs/>
        </w:rPr>
        <w:t xml:space="preserve">η </w:t>
      </w:r>
      <w:r w:rsidRPr="00680841">
        <w:rPr>
          <w:b/>
          <w:bCs/>
        </w:rPr>
        <w:t xml:space="preserve">Εφοδιαστική στην </w:t>
      </w:r>
      <w:r w:rsidR="00680841" w:rsidRPr="00680841">
        <w:rPr>
          <w:b/>
          <w:bCs/>
        </w:rPr>
        <w:t xml:space="preserve">Ελλάδα </w:t>
      </w:r>
      <w:r w:rsidRPr="00680841">
        <w:rPr>
          <w:b/>
          <w:bCs/>
        </w:rPr>
        <w:t>4.0</w:t>
      </w:r>
      <w:r w:rsidR="000D38A5">
        <w:rPr>
          <w:b/>
          <w:bCs/>
        </w:rPr>
        <w:t xml:space="preserve">: Οικοδομώντας την καινοτομία </w:t>
      </w:r>
    </w:p>
    <w:p w14:paraId="250160CF" w14:textId="59F76C9B" w:rsidR="00441CEF" w:rsidRPr="00680841" w:rsidRDefault="00441CEF" w:rsidP="00680841">
      <w:pPr>
        <w:jc w:val="center"/>
        <w:rPr>
          <w:b/>
          <w:bCs/>
        </w:rPr>
      </w:pPr>
      <w:r w:rsidRPr="00680841">
        <w:rPr>
          <w:b/>
          <w:bCs/>
        </w:rPr>
        <w:t xml:space="preserve"> </w:t>
      </w:r>
      <w:r w:rsidR="00680841">
        <w:rPr>
          <w:b/>
          <w:bCs/>
        </w:rPr>
        <w:t>μέσα από το 7</w:t>
      </w:r>
      <w:r w:rsidR="00680841" w:rsidRPr="00D7345E">
        <w:rPr>
          <w:b/>
          <w:bCs/>
          <w:vertAlign w:val="superscript"/>
        </w:rPr>
        <w:t>ο</w:t>
      </w:r>
      <w:r w:rsidR="00680841">
        <w:rPr>
          <w:b/>
          <w:bCs/>
        </w:rPr>
        <w:t xml:space="preserve"> επιτυχημένο συνέδριο της ITS</w:t>
      </w:r>
      <w:r w:rsidR="00680841" w:rsidRPr="00D7345E">
        <w:rPr>
          <w:b/>
          <w:bCs/>
        </w:rPr>
        <w:t xml:space="preserve"> </w:t>
      </w:r>
      <w:r w:rsidR="00680841">
        <w:rPr>
          <w:b/>
          <w:bCs/>
        </w:rPr>
        <w:t>Hellas</w:t>
      </w:r>
    </w:p>
    <w:p w14:paraId="2ADC848B" w14:textId="77777777" w:rsidR="00441CEF" w:rsidRPr="0076738C" w:rsidRDefault="00441CEF" w:rsidP="08342D18">
      <w:pPr>
        <w:jc w:val="both"/>
      </w:pPr>
    </w:p>
    <w:p w14:paraId="44FB734E" w14:textId="77777777" w:rsidR="00167717" w:rsidRPr="00D7345E" w:rsidRDefault="00167717" w:rsidP="00167717">
      <w:pPr>
        <w:jc w:val="center"/>
        <w:rPr>
          <w:b/>
          <w:bCs/>
        </w:rPr>
      </w:pPr>
    </w:p>
    <w:p w14:paraId="415749B2" w14:textId="09747562" w:rsidR="00167717" w:rsidRDefault="00167717" w:rsidP="00EC4613">
      <w:r>
        <w:t xml:space="preserve">Με μεγάλη επιτυχία ολοκληρώθηκαν οι εργασίες του </w:t>
      </w:r>
      <w:hyperlink r:id="rId12" w:history="1">
        <w:r w:rsidRPr="00A4520F">
          <w:rPr>
            <w:rStyle w:val="Hyperlink"/>
          </w:rPr>
          <w:t>7</w:t>
        </w:r>
        <w:r w:rsidRPr="00A4520F">
          <w:rPr>
            <w:rStyle w:val="Hyperlink"/>
            <w:vertAlign w:val="superscript"/>
          </w:rPr>
          <w:t>ου</w:t>
        </w:r>
        <w:r w:rsidRPr="00A4520F">
          <w:rPr>
            <w:rStyle w:val="Hyperlink"/>
          </w:rPr>
          <w:t xml:space="preserve"> ITS Hellas Conference “Transportation &amp; Logistics 4.0’</w:t>
        </w:r>
      </w:hyperlink>
      <w:r w:rsidRPr="003811FF">
        <w:t xml:space="preserve">, </w:t>
      </w:r>
      <w:r>
        <w:t xml:space="preserve"> του καθιερωμένου συνεδρίου που για ακόμα μια χρονιά κατάφερε να συσπειρώσει την ελληνική κοινότητα </w:t>
      </w:r>
      <w:r w:rsidR="00A26F90">
        <w:t xml:space="preserve">των </w:t>
      </w:r>
      <w:r>
        <w:t>μεταφορ</w:t>
      </w:r>
      <w:r w:rsidR="00A26F90">
        <w:t xml:space="preserve">ών </w:t>
      </w:r>
      <w:r>
        <w:t xml:space="preserve">και </w:t>
      </w:r>
      <w:r w:rsidR="000616A0">
        <w:t xml:space="preserve">της </w:t>
      </w:r>
      <w:r>
        <w:t>εφοδιαστική</w:t>
      </w:r>
      <w:r w:rsidR="000616A0">
        <w:t>ς</w:t>
      </w:r>
      <w:r>
        <w:t xml:space="preserve"> δημιουργώντας γέφυρες απαραίτητες προς μια ευέλικτη και οργανωμένη μετάβαση σε ένα μέλλον όπου όλες οι μεταφορές, ανθρώπων και αγαθών, θα είναι ευφυείς, πράσινες και βιώσιμες. Με διοργανωτές την ITS</w:t>
      </w:r>
      <w:r w:rsidRPr="00D92E7A">
        <w:t xml:space="preserve"> </w:t>
      </w:r>
      <w:r>
        <w:t>Hellas</w:t>
      </w:r>
      <w:r w:rsidRPr="00D92E7A">
        <w:t xml:space="preserve"> (</w:t>
      </w:r>
      <w:r>
        <w:t xml:space="preserve">Ελληνικός Οργανισμός για τα Ευφυή Συστήματα Μεταφορών) και την ομάδα </w:t>
      </w:r>
      <w:hyperlink r:id="rId13" w:history="1">
        <w:r w:rsidRPr="000616A0">
          <w:rPr>
            <w:rStyle w:val="Hyperlink"/>
          </w:rPr>
          <w:t>ISENSE του ΕΠΙΣΕΥ/ΕΜΠ (Ερευνητικό Πανεπιστημιακό Ινστιτούτο Συστημάτων Επικοινωνίας και Υπολογιστών/Εθνικό Μετσόβιο Πολυτεχνείο</w:t>
        </w:r>
      </w:hyperlink>
      <w:r>
        <w:t>), την υποστήριξη της Αντιπροσωπείας της ΕΕ στην Ελλάδα, με 1</w:t>
      </w:r>
      <w:r w:rsidR="00ED57F4">
        <w:t>3</w:t>
      </w:r>
      <w:r>
        <w:t xml:space="preserve"> ηχηρές αιγίδες, περισσότερους από 55 ομιλητές και 150 συνέδρους, 1</w:t>
      </w:r>
      <w:r w:rsidR="00141336">
        <w:t>6 μεγάλους</w:t>
      </w:r>
      <w:r>
        <w:t xml:space="preserve"> χορηγούς και εκθέτες, το 7</w:t>
      </w:r>
      <w:r w:rsidRPr="003B13F2">
        <w:rPr>
          <w:vertAlign w:val="superscript"/>
        </w:rPr>
        <w:t>ο</w:t>
      </w:r>
      <w:r>
        <w:t xml:space="preserve"> ITS</w:t>
      </w:r>
      <w:r w:rsidRPr="003B13F2">
        <w:t xml:space="preserve"> </w:t>
      </w:r>
      <w:r>
        <w:t>Hellas</w:t>
      </w:r>
      <w:r w:rsidRPr="003B13F2">
        <w:t xml:space="preserve"> </w:t>
      </w:r>
      <w:r w:rsidRPr="00167717">
        <w:t xml:space="preserve">(8-9 </w:t>
      </w:r>
      <w:r>
        <w:t>Δεκεμβρίου 2021,</w:t>
      </w:r>
      <w:r w:rsidRPr="00167717">
        <w:t xml:space="preserve"> </w:t>
      </w:r>
      <w:r>
        <w:rPr>
          <w:lang w:val="en-US"/>
        </w:rPr>
        <w:t>Royal</w:t>
      </w:r>
      <w:r w:rsidRPr="00167717">
        <w:t xml:space="preserve"> </w:t>
      </w:r>
      <w:r>
        <w:rPr>
          <w:lang w:val="en-US"/>
        </w:rPr>
        <w:t>Olympic</w:t>
      </w:r>
      <w:r w:rsidRPr="00167717">
        <w:t xml:space="preserve"> </w:t>
      </w:r>
      <w:r>
        <w:rPr>
          <w:lang w:val="en-US"/>
        </w:rPr>
        <w:t>Hotel</w:t>
      </w:r>
      <w:r>
        <w:t xml:space="preserve">) έφερε στη ελληνική δημόσια συζήτηση τα μεγάλα ζητήματα που αφορούν το μετασχηματισμό των μεταφορών και της εφοδιαστικής και θα διαδραματίσουν καθοριστικό ρόλο για την αναπτυξιακή πορεία της χώρας μας. </w:t>
      </w:r>
    </w:p>
    <w:p w14:paraId="75F359E7" w14:textId="77777777" w:rsidR="00167717" w:rsidRPr="003B13F2" w:rsidRDefault="00167717" w:rsidP="00167717"/>
    <w:p w14:paraId="4CB30369" w14:textId="580DB17F" w:rsidR="00167717" w:rsidRDefault="00167717" w:rsidP="00167717">
      <w:r w:rsidRPr="00927084">
        <w:t xml:space="preserve">Μέσα από ένα πλούσιο πρόγραμμα που εκτάθηκε σε 2 ημέρες και 7 θεματικές, η συζήτηση κατάφερε να αναδείξει ότι οι αλλαγές που έρχονται στο κατώφλι της 4ης βιομηχανικής επανάστασης, αλλαγές στον τρόπο μετακίνησης ανθρώπων και αγαθών, στα μοντέλα παραγωγής και διαχείρισης είναι τεράστιες, έχουν </w:t>
      </w:r>
      <w:r>
        <w:t xml:space="preserve">στην καρδιά τους </w:t>
      </w:r>
      <w:r w:rsidRPr="00927084">
        <w:t>την τεχνολογία και υπόσχονται βιωσιμότητα σε όλα τα επίπεδα-προς όφελος του πολίτη και του περιβάλλοντος. Ταυτόχρονα</w:t>
      </w:r>
      <w:r>
        <w:t xml:space="preserve">, </w:t>
      </w:r>
      <w:r w:rsidRPr="00927084">
        <w:t>η μετάβαση αυτή γεννά τεράστια οφέλη για την οικονομία και την καινοτομία.  «Και είναι μια μετάβαση αδύνατη χωρίς έρευνα και καινοτομία» όπως δήλωσε στο</w:t>
      </w:r>
      <w:r w:rsidR="00086FA8">
        <w:t xml:space="preserve">ν εναρκτήριο </w:t>
      </w:r>
      <w:r w:rsidRPr="00927084">
        <w:t xml:space="preserve">χαιρετισμό του ο Δρ Άγγελος Αμδίτης, Διευ/ντης Έρευνας στο φορέα διοργάνωσης ΕΠΙΣΕΥ/ΕΜΠ, Αντιπρόεδρος ITS Hellas, Αν. Πρόεδρος ΟΑΣΑ. </w:t>
      </w:r>
    </w:p>
    <w:p w14:paraId="17D1C4FB" w14:textId="77777777" w:rsidR="00167717" w:rsidRPr="00927084" w:rsidRDefault="00167717" w:rsidP="00167717"/>
    <w:p w14:paraId="0555B4D8" w14:textId="4A111EED" w:rsidR="00086FA8" w:rsidRPr="009A0E1F" w:rsidRDefault="00167717" w:rsidP="00167717">
      <w:r w:rsidRPr="0072737F">
        <w:t>Το συνέδριο προλόγισ</w:t>
      </w:r>
      <w:r>
        <w:t xml:space="preserve">ε ακόμα με χαιρετισμό </w:t>
      </w:r>
      <w:r w:rsidR="00680841">
        <w:t xml:space="preserve">η </w:t>
      </w:r>
      <w:r w:rsidR="00086FA8">
        <w:t xml:space="preserve">Δρ Γεωργία </w:t>
      </w:r>
      <w:r w:rsidRPr="0072737F">
        <w:t>Αυφαντοπο</w:t>
      </w:r>
      <w:r w:rsidR="00680841">
        <w:t>ύ</w:t>
      </w:r>
      <w:r w:rsidRPr="0072737F">
        <w:t>λου, Διευθύντρια Ερευνών ΕΚΕΤΑ/ΙΜΕΤ και Πρόεδρος ΙΤ</w:t>
      </w:r>
      <w:r w:rsidRPr="009A0E1F">
        <w:t>S Hellas</w:t>
      </w:r>
      <w:r>
        <w:t xml:space="preserve">. Επίσημο χαιρετισμό </w:t>
      </w:r>
      <w:r w:rsidRPr="0072737F">
        <w:t xml:space="preserve">απεύθυνε και ο </w:t>
      </w:r>
      <w:r w:rsidR="00680841">
        <w:t>κ.</w:t>
      </w:r>
      <w:r w:rsidRPr="0072737F">
        <w:t>Γ</w:t>
      </w:r>
      <w:r w:rsidR="00680841">
        <w:t>ιάννης</w:t>
      </w:r>
      <w:r w:rsidR="00086FA8">
        <w:t xml:space="preserve"> </w:t>
      </w:r>
      <w:r w:rsidRPr="0072737F">
        <w:t xml:space="preserve">Ξιφαράς, Γενικός Γραμματέας Μεταφορών, Υπουργείο Υποδομών και Μεταφορών, </w:t>
      </w:r>
      <w:r w:rsidR="00086FA8">
        <w:t xml:space="preserve">καθώς και </w:t>
      </w:r>
      <w:r w:rsidRPr="0072737F">
        <w:t>εκπρόσωπο</w:t>
      </w:r>
      <w:r w:rsidR="00086FA8">
        <w:t xml:space="preserve">ς του </w:t>
      </w:r>
      <w:r w:rsidR="00680841">
        <w:t>κ.</w:t>
      </w:r>
      <w:r w:rsidR="00086FA8">
        <w:t>Ευθύμιου Μπακογιάννη</w:t>
      </w:r>
      <w:r w:rsidRPr="0072737F">
        <w:t xml:space="preserve"> από το </w:t>
      </w:r>
      <w:r w:rsidR="00086FA8">
        <w:t xml:space="preserve">Υπουργείο </w:t>
      </w:r>
      <w:r w:rsidRPr="0072737F">
        <w:t xml:space="preserve">Χωροταξίας και Αστικού Περιβάλλοντος, ΥΠΕΝ. </w:t>
      </w:r>
      <w:r w:rsidRPr="009A0E1F">
        <w:t>Το</w:t>
      </w:r>
      <w:r>
        <w:t xml:space="preserve">ν τρόπο που οι πολιτικές για την έρευνα και την καινοτομία στηρίζουν την οικονομική ανάπτυξη της χώρας </w:t>
      </w:r>
      <w:r w:rsidRPr="009A0E1F">
        <w:t xml:space="preserve">υπογράμμισε με την ομιλία του ο </w:t>
      </w:r>
      <w:r w:rsidR="00680841">
        <w:t>κ.</w:t>
      </w:r>
      <w:r w:rsidRPr="009A0E1F">
        <w:t>Αθ</w:t>
      </w:r>
      <w:r w:rsidR="00086FA8">
        <w:t xml:space="preserve">ανάσιος </w:t>
      </w:r>
      <w:r w:rsidRPr="009A0E1F">
        <w:t>Κυριαζής, Γενικός Γραμματέας Έρευνας και Καινοτομίας</w:t>
      </w:r>
      <w:r>
        <w:t xml:space="preserve">. </w:t>
      </w:r>
    </w:p>
    <w:p w14:paraId="527125F7" w14:textId="23DC3416" w:rsidR="00167717" w:rsidRDefault="00167717" w:rsidP="00167717">
      <w:r w:rsidRPr="000B6405">
        <w:lastRenderedPageBreak/>
        <w:t xml:space="preserve">Η </w:t>
      </w:r>
      <w:r w:rsidR="00086FA8">
        <w:t xml:space="preserve"> ενεργός </w:t>
      </w:r>
      <w:r w:rsidRPr="000B6405">
        <w:t xml:space="preserve">συμμετοχή των δημόσιων φορέων </w:t>
      </w:r>
      <w:r>
        <w:t xml:space="preserve">έδειξε </w:t>
      </w:r>
      <w:r w:rsidRPr="000B6405">
        <w:t xml:space="preserve">ότι σήμερα η </w:t>
      </w:r>
      <w:r w:rsidR="00086FA8">
        <w:t xml:space="preserve">ανταπόκριση στις </w:t>
      </w:r>
      <w:r w:rsidRPr="000B6405">
        <w:t>προκλήσε</w:t>
      </w:r>
      <w:r w:rsidR="00086FA8">
        <w:t>ις</w:t>
      </w:r>
      <w:r w:rsidRPr="000B6405">
        <w:t xml:space="preserve"> που θέτει η βιομηχανία 4.0 </w:t>
      </w:r>
      <w:r w:rsidR="00086FA8">
        <w:t xml:space="preserve">για το χώρο των μεταφορών </w:t>
      </w:r>
      <w:r w:rsidRPr="000B6405">
        <w:t>αποτελεί στρατηγική προτεραιότητα για τη χώρα μας, και παίρνει σάρκα και οστά μέσα από ένα εθνικό προσανατολισμό που θα εστιάσει σε επενδύσεις σε σύγχρονες τεχνολογίες</w:t>
      </w:r>
      <w:r w:rsidR="00086FA8">
        <w:t xml:space="preserve">, και </w:t>
      </w:r>
      <w:r w:rsidRPr="000B6405">
        <w:t xml:space="preserve">αποσκοπεί στην ενδυνάμωση της καινοτομικής ικανότητας </w:t>
      </w:r>
      <w:r w:rsidR="00086FA8">
        <w:t xml:space="preserve">δίνοντας </w:t>
      </w:r>
      <w:r w:rsidRPr="000B6405">
        <w:t xml:space="preserve">προτεραιότητα τη σύνδεση της έρευνας με τις τεχνολογικές ανάγκες της βιομηχανίας. </w:t>
      </w:r>
    </w:p>
    <w:p w14:paraId="51C70470" w14:textId="77777777" w:rsidR="008642C8" w:rsidRDefault="008642C8" w:rsidP="00167717"/>
    <w:p w14:paraId="59CA6738" w14:textId="5B4FE869" w:rsidR="00167717" w:rsidRDefault="00167717" w:rsidP="00167717">
      <w:r w:rsidRPr="00A5431C">
        <w:t xml:space="preserve">Ταυτόχρονα, παρακολουθήσαμε με ενδιαφέρον εκπροσώπους του ακαδημαϊκού και του επιχειρηματικού χώρου να εκθέτουν </w:t>
      </w:r>
      <w:r w:rsidR="00086FA8">
        <w:t xml:space="preserve">τα </w:t>
      </w:r>
      <w:r w:rsidRPr="00A5431C">
        <w:t>σύγχρον</w:t>
      </w:r>
      <w:r w:rsidR="00086FA8">
        <w:t xml:space="preserve">α αδιέξοδα και τις λύσεις προς μια </w:t>
      </w:r>
      <w:r w:rsidRPr="00A5431C">
        <w:t>βιώσιμη αστική κινητικότητα</w:t>
      </w:r>
      <w:r w:rsidR="00086FA8">
        <w:t xml:space="preserve">, </w:t>
      </w:r>
      <w:r w:rsidRPr="00A5431C">
        <w:t xml:space="preserve">τεχνολογικές προσεγγίσεις στην ανάπτυξη ευφυών συστημάτων μεταφορών καθώς και εξέχοντες ομιλητές από το διεθνή στίβο </w:t>
      </w:r>
      <w:r>
        <w:t xml:space="preserve">να δίνουν το στίγμα </w:t>
      </w:r>
      <w:r w:rsidRPr="00A5431C">
        <w:t xml:space="preserve">για τις διεθνείς  και ευρωπαϊκές εξελίξεις </w:t>
      </w:r>
      <w:r>
        <w:t>στον τομέα</w:t>
      </w:r>
      <w:r w:rsidRPr="00A5431C">
        <w:t xml:space="preserve">. </w:t>
      </w:r>
      <w:r w:rsidRPr="00927084">
        <w:t>«Η Ελλάδα έχει πολλά να κερδίσει εξετάζοντας καλές ευρωπαϊκές πρακτικές συνεργασίας αλλά και πολύ δρόμο να καλύψει»</w:t>
      </w:r>
      <w:r w:rsidR="000616A0" w:rsidRPr="000616A0">
        <w:t xml:space="preserve">, </w:t>
      </w:r>
      <w:r w:rsidR="000616A0">
        <w:t>δ</w:t>
      </w:r>
      <w:r w:rsidRPr="00A5431C">
        <w:t xml:space="preserve">ηλώνει ο </w:t>
      </w:r>
      <w:r w:rsidR="003F0222">
        <w:t xml:space="preserve">Δρ </w:t>
      </w:r>
      <w:r w:rsidRPr="00A5431C">
        <w:t xml:space="preserve">Αμδίτης </w:t>
      </w:r>
      <w:r w:rsidR="003F0222">
        <w:t xml:space="preserve">αυτή τη φορά από τη θέση του </w:t>
      </w:r>
      <w:r w:rsidRPr="00A5431C">
        <w:t>πρόεδρο</w:t>
      </w:r>
      <w:r w:rsidR="003F0222">
        <w:t>υ της</w:t>
      </w:r>
      <w:r w:rsidRPr="00A5431C">
        <w:t xml:space="preserve"> </w:t>
      </w:r>
      <w:r w:rsidRPr="00927084">
        <w:t>ERTICO</w:t>
      </w:r>
      <w:r w:rsidRPr="00A5431C">
        <w:t xml:space="preserve"> </w:t>
      </w:r>
      <w:r>
        <w:t>– ITS</w:t>
      </w:r>
      <w:r w:rsidRPr="00A5431C">
        <w:t xml:space="preserve"> </w:t>
      </w:r>
      <w:r>
        <w:t>Europe</w:t>
      </w:r>
      <w:r w:rsidRPr="00A5431C">
        <w:t xml:space="preserve">, </w:t>
      </w:r>
      <w:r>
        <w:t xml:space="preserve">του Ευρωπαϊκού Οργανισμού για τα Ευφυή Συστήματα Μεταφορών στην Ευρώπη. </w:t>
      </w:r>
    </w:p>
    <w:p w14:paraId="1E67F122" w14:textId="77777777" w:rsidR="003F0222" w:rsidRPr="000B6405" w:rsidRDefault="003F0222" w:rsidP="00167717"/>
    <w:p w14:paraId="44E6BE2A" w14:textId="24DBA9EF" w:rsidR="00167717" w:rsidRDefault="00167717" w:rsidP="00167717">
      <w:pPr>
        <w:jc w:val="both"/>
      </w:pPr>
      <w:r w:rsidRPr="00A5431C">
        <w:t>«</w:t>
      </w:r>
      <w:r>
        <w:t xml:space="preserve">Ο </w:t>
      </w:r>
      <w:r w:rsidRPr="00A5431C">
        <w:t xml:space="preserve">καταλυτικός και μεταμορφωτικός ρόλος που θα παίξει η δυνατότητα μας για καινοτομία στο πλαίσιο της Βιομηχανίας 4.0,  έδωσε το παρόν σε όλες τις θεματικές συνεδρίες. </w:t>
      </w:r>
      <w:r w:rsidRPr="00057265">
        <w:t>Σε αυτό το περιβάλλον, οι συστηματικές συμπράξεις μεταξύ δημόσιων και ιδιωτικών φορέων και οι συνεργασίες</w:t>
      </w:r>
      <w:r>
        <w:t>–τόσο διακρατικές όσο και μεταξύ τομέων-,</w:t>
      </w:r>
      <w:r w:rsidR="008642C8" w:rsidRPr="008642C8">
        <w:t xml:space="preserve"> </w:t>
      </w:r>
      <w:r w:rsidRPr="00057265">
        <w:t xml:space="preserve">η στόχευση των εθνικών προγραμμάτων, η ανάπτυξη υποδομών και δεξιοτήτων και η διασύνδεση βιομηχανίας και έρευνας είναι στρατηγικής σημασίας για να μπορέσουμε να οραματιστούμε ένα βιώσιμο μέλλον για τις μεταφορές. </w:t>
      </w:r>
      <w:r w:rsidRPr="00927084">
        <w:t xml:space="preserve">Οι έξυπνες ψηφιακές τεχνολογίες από μόνες τους δεν είναι αρκετές. </w:t>
      </w:r>
      <w:r w:rsidRPr="000E2A36">
        <w:t xml:space="preserve">Είναι σημαντική η δίκαιη και σύγχρονη μετάβαση» </w:t>
      </w:r>
      <w:r>
        <w:t xml:space="preserve">συμπληρώνει.  </w:t>
      </w:r>
    </w:p>
    <w:p w14:paraId="543FB4F1" w14:textId="77777777" w:rsidR="003F0222" w:rsidRPr="000E2A36" w:rsidRDefault="003F0222" w:rsidP="00167717">
      <w:pPr>
        <w:jc w:val="both"/>
        <w:rPr>
          <w:sz w:val="32"/>
        </w:rPr>
      </w:pPr>
    </w:p>
    <w:p w14:paraId="631A1D88" w14:textId="35300E42" w:rsidR="00167717" w:rsidRDefault="00167717" w:rsidP="00167717">
      <w:r w:rsidRPr="00057265">
        <w:t xml:space="preserve">Κεντρικό ρόλο στη θεματολογία </w:t>
      </w:r>
      <w:r>
        <w:t xml:space="preserve">φέτος </w:t>
      </w:r>
      <w:r w:rsidRPr="00057265">
        <w:t>κατείχαν οι έννοιες της «κινητικότητας ως υπηρεσία</w:t>
      </w:r>
      <w:r w:rsidR="007618CD">
        <w:t>ς</w:t>
      </w:r>
      <w:r w:rsidRPr="00057265">
        <w:t xml:space="preserve">» και της πολυτροπικοτητας, </w:t>
      </w:r>
      <w:r>
        <w:t>καθώς και ο ρόλος των δεδομένων που βρίσκονται στη</w:t>
      </w:r>
      <w:r w:rsidR="003F0222">
        <w:t xml:space="preserve"> </w:t>
      </w:r>
      <w:r w:rsidRPr="00057265">
        <w:t>ραχοκοκαλιά του μετασχηματισμού των Μεταφορών</w:t>
      </w:r>
      <w:r>
        <w:t xml:space="preserve">. </w:t>
      </w:r>
      <w:r w:rsidRPr="00057265">
        <w:t>Οι πράσινες τεχνολογίες και η ηλεκτροκίνηση</w:t>
      </w:r>
      <w:r>
        <w:t xml:space="preserve"> </w:t>
      </w:r>
      <w:r w:rsidR="003F0222">
        <w:t xml:space="preserve">παρουσιάστηκαν ως </w:t>
      </w:r>
      <w:r w:rsidRPr="00057265">
        <w:t xml:space="preserve">ένα λαμπρό πεδίο για καινοτομία </w:t>
      </w:r>
      <w:r>
        <w:t xml:space="preserve">και παρακολουθήσαμε τόσο τις δράσεις της πολιτείας για την προώθηση της ηλεκτροκίνησης, καινοτόμες εφαρμογές και υπηρεσίες αλλά και όλα τα ανοικτά ερωτήματα που προκύπτουν από την επέκταση της. </w:t>
      </w:r>
    </w:p>
    <w:p w14:paraId="13957E1C" w14:textId="77777777" w:rsidR="003F0222" w:rsidRDefault="003F0222" w:rsidP="00167717"/>
    <w:p w14:paraId="43370729" w14:textId="525D227A" w:rsidR="003F0222" w:rsidRDefault="00167717" w:rsidP="00167717">
      <w:r w:rsidRPr="00F424ED">
        <w:t xml:space="preserve">Στο κλείσιμο του συνεδρίου η </w:t>
      </w:r>
      <w:r w:rsidRPr="00057265">
        <w:t xml:space="preserve"> Δρ Αυφαντοπούλου</w:t>
      </w:r>
      <w:r>
        <w:t xml:space="preserve"> </w:t>
      </w:r>
      <w:r w:rsidR="003F0222">
        <w:t>υπογράμμισε</w:t>
      </w:r>
      <w:r>
        <w:t xml:space="preserve">  ότι ο </w:t>
      </w:r>
      <w:r w:rsidRPr="00057265">
        <w:t xml:space="preserve">ρόλος του </w:t>
      </w:r>
      <w:r w:rsidRPr="00927084">
        <w:t>ITS</w:t>
      </w:r>
      <w:r w:rsidRPr="00057265">
        <w:t xml:space="preserve"> </w:t>
      </w:r>
      <w:r w:rsidRPr="00927084">
        <w:t>Hellas</w:t>
      </w:r>
      <w:r w:rsidRPr="00057265">
        <w:t xml:space="preserve"> στην ανοικοδόμηση ενός οικοσυστήματος για την προώθηση της έρευνας και της καινοτομίας στον τομέα των ΕΣΜ σήμερα είναι πιο κρίσιμος από ποτέ και μια ολιστική προσέγγιση που </w:t>
      </w:r>
      <w:r w:rsidR="003F0222">
        <w:t>περνάει μέσα από υποδομές συνεργασίας –</w:t>
      </w:r>
      <w:r w:rsidR="003F0222" w:rsidRPr="003F0222">
        <w:t xml:space="preserve"> </w:t>
      </w:r>
      <w:r w:rsidR="003F0222">
        <w:t xml:space="preserve">Παρατηρητήρια, Κέντρα Ικανοτήτων, Συνεργατικοί σχηματικοί- και περιλαμβάνει όλη την αλυσίδα των  </w:t>
      </w:r>
    </w:p>
    <w:p w14:paraId="7BEBE729" w14:textId="204C15D8" w:rsidR="00167717" w:rsidRPr="00057265" w:rsidRDefault="00167717" w:rsidP="00167717">
      <w:r w:rsidRPr="00057265">
        <w:t xml:space="preserve">μεταφορών και της εφοδιαστικής, είναι άκρως απαραίτητη». </w:t>
      </w:r>
    </w:p>
    <w:p w14:paraId="240FFA4B" w14:textId="29818940" w:rsidR="00167717" w:rsidRDefault="00167717" w:rsidP="00167717">
      <w:pPr>
        <w:jc w:val="both"/>
      </w:pPr>
      <w:r w:rsidRPr="00F424ED">
        <w:lastRenderedPageBreak/>
        <w:t>Αυτές οι δυο ημέρες καταφέραν να δώσουν πνοή στο κοινό μας όραμα προς ένα βιώσιμο, πράσινο και διασυνδεδεμένο σύστημα μεταφορών για την χώρα μας. Και είναι ένας στόχος που ο ITS Hellas δεν θα μπορούσ</w:t>
      </w:r>
      <w:r>
        <w:t>ε</w:t>
      </w:r>
      <w:r w:rsidRPr="00F424ED">
        <w:t xml:space="preserve"> να τον </w:t>
      </w:r>
      <w:r w:rsidR="008644B9">
        <w:t xml:space="preserve">πετύχει </w:t>
      </w:r>
      <w:r w:rsidRPr="00F424ED">
        <w:t xml:space="preserve">χωρίς την πολύτιμη συμβολή των μελών </w:t>
      </w:r>
      <w:r>
        <w:t xml:space="preserve">του </w:t>
      </w:r>
      <w:r w:rsidRPr="00F424ED">
        <w:t>αλλά και του ευρύτερου οικοσυστήματος των μεταφορών και της εφοδιαστικής στην Ελλάδα.</w:t>
      </w:r>
    </w:p>
    <w:p w14:paraId="697B1D83" w14:textId="77777777" w:rsidR="008644B9" w:rsidRPr="00FC1E71" w:rsidRDefault="008644B9" w:rsidP="00167717">
      <w:pPr>
        <w:jc w:val="both"/>
        <w:rPr>
          <w:sz w:val="32"/>
        </w:rPr>
      </w:pPr>
    </w:p>
    <w:p w14:paraId="1401E664" w14:textId="609F89D9" w:rsidR="00167717" w:rsidRPr="00325E76" w:rsidRDefault="008644B9" w:rsidP="00167717">
      <w:r>
        <w:t>Το 7</w:t>
      </w:r>
      <w:r w:rsidRPr="008644B9">
        <w:rPr>
          <w:vertAlign w:val="superscript"/>
        </w:rPr>
        <w:t>ο</w:t>
      </w:r>
      <w:r>
        <w:t xml:space="preserve"> Συνέδριο της </w:t>
      </w:r>
      <w:r>
        <w:rPr>
          <w:lang w:val="en-US"/>
        </w:rPr>
        <w:t>ITS</w:t>
      </w:r>
      <w:r w:rsidRPr="008644B9">
        <w:t xml:space="preserve"> </w:t>
      </w:r>
      <w:r>
        <w:rPr>
          <w:lang w:val="en-US"/>
        </w:rPr>
        <w:t>Hellas</w:t>
      </w:r>
      <w:r w:rsidRPr="008644B9">
        <w:t xml:space="preserve"> </w:t>
      </w:r>
      <w:r>
        <w:t xml:space="preserve">πραγματοποιήθηκε με την </w:t>
      </w:r>
      <w:r w:rsidR="00167717" w:rsidRPr="00F424ED">
        <w:t xml:space="preserve">υποστήριξη σπουδαίων οργανισμών, φορέων και επιχειρήσεων, όπως της Αντιπροσωπείας της Ευρωπαϊκής Επιτροπής στην Ελλάδα </w:t>
      </w:r>
      <w:r>
        <w:t xml:space="preserve">και </w:t>
      </w:r>
      <w:r w:rsidR="007618CD">
        <w:t xml:space="preserve">τέθηκε </w:t>
      </w:r>
      <w:r w:rsidR="00167717" w:rsidRPr="00F424ED">
        <w:t>υπό την αιγίδα του Υπουργείου Υποδομών και Μεταφορών, του Υπουργείου Ψηφιακής Διακυβέρνησης, του Υπουργείου Περιβάλλοντος και Ενέργειας, του Δήμου Αθηναίων, της Γενικής Γραμματείας Έρευνας και Καινοτομίας, του Οργανισμού Αστικών Συγκοινωνιών </w:t>
      </w:r>
      <w:r w:rsidR="00ED57F4" w:rsidRPr="00F424ED">
        <w:t>Αθηνών</w:t>
      </w:r>
      <w:r w:rsidR="00167717" w:rsidRPr="00F424ED">
        <w:t> (ΟΑΣΑ), του Συλλόγου Ελλήνων Συγκοινωνιολόγων, της Ελληνικής Συνομοσπονδίας Εμπορίου και Επιχειρηματικότητας, του Συνδέσμου Επιχειρήσεων Καινοτόμων Εφαρμογών Ελλάδας, του Ινστιτούτου Logistics Management Ελλάδος, της Ελληνικής Ένωσης Βιομηχανιών Ψύχους &amp; Logistics, της Ελληνικής Εταιρείας Logistics, της Ομοσπονδίας Φορτηγών Αυτοκινητιστών Ελλάδας Οδικών Εμπορευματικών και Επιβατικών Μεταφορών και άλλων σημαντικών φορέων. </w:t>
      </w:r>
      <w:r w:rsidR="00167717">
        <w:t>Χρυσοί χορηγοί στάθηκαν η ομάδα ΙSENSE</w:t>
      </w:r>
      <w:r w:rsidR="00167717" w:rsidRPr="00325E76">
        <w:t xml:space="preserve"> </w:t>
      </w:r>
      <w:r w:rsidR="00167717">
        <w:t>του ΕΠΙΣΕΥ/ΕΜΠ και η Wind</w:t>
      </w:r>
      <w:r w:rsidR="00167717" w:rsidRPr="00325E76">
        <w:t xml:space="preserve"> </w:t>
      </w:r>
      <w:r w:rsidR="00167717">
        <w:t>σε συνεργασία με τη SMART</w:t>
      </w:r>
      <w:r w:rsidR="00167717" w:rsidRPr="00325E76">
        <w:t xml:space="preserve"> </w:t>
      </w:r>
      <w:r w:rsidR="00167717">
        <w:t xml:space="preserve">Nav. </w:t>
      </w:r>
    </w:p>
    <w:p w14:paraId="27F04752" w14:textId="77777777" w:rsidR="00167717" w:rsidRPr="00F424ED" w:rsidRDefault="00167717" w:rsidP="00167717">
      <w:pPr>
        <w:jc w:val="both"/>
        <w:rPr>
          <w:sz w:val="32"/>
          <w:lang w:val="en-GR"/>
        </w:rPr>
      </w:pPr>
    </w:p>
    <w:p w14:paraId="095DF968" w14:textId="0C4B7B46" w:rsidR="0076738C" w:rsidRPr="00F73243" w:rsidRDefault="0076738C" w:rsidP="0076738C">
      <w:r>
        <w:t xml:space="preserve">Όλες οι </w:t>
      </w:r>
      <w:r w:rsidR="00ED57F4">
        <w:t>παρουσιάσεις</w:t>
      </w:r>
      <w:r>
        <w:t xml:space="preserve"> των ομιλητών θα είναι σύντομα διαθέσιμες στο κοινό μέσα από την ιστοσελίδα του συνεδρίου</w:t>
      </w:r>
      <w:r w:rsidR="00ED57F4">
        <w:t xml:space="preserve">, καθώς και πλούσιο φωτογραφικό υλικό. </w:t>
      </w:r>
    </w:p>
    <w:p w14:paraId="2DF1A6A6" w14:textId="77777777" w:rsidR="00EE3F29" w:rsidRPr="008B615E" w:rsidRDefault="00EE3F29" w:rsidP="00EE3F29">
      <w:pPr>
        <w:jc w:val="both"/>
        <w:rPr>
          <w:rFonts w:asciiTheme="minorHAnsi" w:hAnsiTheme="minorHAnsi" w:cstheme="minorHAnsi"/>
        </w:rPr>
      </w:pPr>
    </w:p>
    <w:p w14:paraId="2A92FF74" w14:textId="77777777" w:rsidR="00EE3F29" w:rsidRPr="00ED57F4" w:rsidRDefault="00EE3F29" w:rsidP="00EE3F29">
      <w:pPr>
        <w:rPr>
          <w:rFonts w:asciiTheme="minorHAnsi" w:hAnsiTheme="minorHAnsi" w:cstheme="minorHAnsi"/>
          <w:b/>
          <w:bCs/>
          <w:i/>
          <w:iCs/>
          <w:u w:val="single"/>
        </w:rPr>
      </w:pPr>
      <w:r w:rsidRPr="00ED57F4">
        <w:rPr>
          <w:rFonts w:asciiTheme="minorHAnsi" w:hAnsiTheme="minorHAnsi" w:cstheme="minorHAnsi"/>
          <w:b/>
          <w:bCs/>
          <w:i/>
          <w:iCs/>
          <w:u w:val="single"/>
        </w:rPr>
        <w:t xml:space="preserve">Λίγα λόγια για την </w:t>
      </w:r>
      <w:r w:rsidRPr="00ED57F4">
        <w:rPr>
          <w:rFonts w:asciiTheme="minorHAnsi" w:hAnsiTheme="minorHAnsi" w:cstheme="minorHAnsi"/>
          <w:b/>
          <w:bCs/>
          <w:i/>
          <w:iCs/>
          <w:u w:val="single"/>
          <w:lang w:val="en-US"/>
        </w:rPr>
        <w:t>ITS</w:t>
      </w:r>
      <w:r w:rsidRPr="00ED57F4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Pr="00ED57F4">
        <w:rPr>
          <w:rFonts w:asciiTheme="minorHAnsi" w:hAnsiTheme="minorHAnsi" w:cstheme="minorHAnsi"/>
          <w:b/>
          <w:bCs/>
          <w:i/>
          <w:iCs/>
          <w:u w:val="single"/>
          <w:lang w:val="en-US"/>
        </w:rPr>
        <w:t>Hellas</w:t>
      </w:r>
      <w:r w:rsidRPr="00ED57F4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</w:p>
    <w:p w14:paraId="645ED41D" w14:textId="77777777" w:rsidR="00EE3F29" w:rsidRPr="00ED57F4" w:rsidRDefault="00EE3F29" w:rsidP="00EE3F29">
      <w:pPr>
        <w:spacing w:before="120"/>
        <w:jc w:val="both"/>
        <w:rPr>
          <w:rFonts w:asciiTheme="minorHAnsi" w:hAnsiTheme="minorHAnsi" w:cstheme="minorHAnsi"/>
          <w:i/>
          <w:iCs/>
        </w:rPr>
      </w:pPr>
      <w:r w:rsidRPr="00ED57F4">
        <w:rPr>
          <w:rFonts w:asciiTheme="minorHAnsi" w:hAnsiTheme="minorHAnsi" w:cstheme="minorHAnsi"/>
          <w:i/>
          <w:iCs/>
        </w:rPr>
        <w:t xml:space="preserve">ITS Hellas, o «Ελληνικός Οργανισμός Συστημάτων Ευφυών Μεταφορών» (www.its-hellas.gr), είναι μια μη κερδοσκοπική εταιρεία αστικής ευθύνης, η οποία ιδρύθηκε το 2011 και έκτοτε λειτουργεί ως η κατεξοχήν εθνική πλατφόρμα για τα Ευφυή Συστήματα Μεταφορών (ΕΣΜ) στην Ελλάδα. Βασική αποστολή της πλατφόρμας είναι η δημιουργία των κατάλληλων προϋποθέσεων για την ανάπτυξη και την προώθηση των Ελληνικών τεχνολογικών λύσεων ΕΣΜ με στόχο την επίτευξη της μέγιστης αποτελεσματικότητας στις Μεταφορές. Η ITS Hellas αποτελείται από 34 μέλη (π.χ. ΤΡΑΙΝΟΣΕ, ΟΑΣΑ, ΣΑΣΘ κτλ.) από το δημόσιο, τον ιδιωτικό τομέα αλλά και τον ακαδημαϊκό/ερευνητικό κόσμο. </w:t>
      </w:r>
    </w:p>
    <w:p w14:paraId="24FC479C" w14:textId="77777777" w:rsidR="00EE3F29" w:rsidRPr="00ED57F4" w:rsidRDefault="00EE3F29" w:rsidP="00EE3F29">
      <w:pPr>
        <w:spacing w:before="120"/>
        <w:jc w:val="both"/>
        <w:rPr>
          <w:rFonts w:asciiTheme="minorHAnsi" w:hAnsiTheme="minorHAnsi" w:cstheme="minorHAnsi"/>
          <w:i/>
          <w:iCs/>
        </w:rPr>
      </w:pPr>
    </w:p>
    <w:p w14:paraId="00E38628" w14:textId="06E7773B" w:rsidR="00EE3F29" w:rsidRPr="007618CD" w:rsidRDefault="00EE3F29" w:rsidP="007618CD">
      <w:pPr>
        <w:jc w:val="both"/>
        <w:rPr>
          <w:rFonts w:asciiTheme="minorHAnsi" w:hAnsiTheme="minorHAnsi" w:cstheme="minorHAnsi"/>
          <w:i/>
          <w:iCs/>
        </w:rPr>
      </w:pPr>
      <w:r w:rsidRPr="00ED57F4">
        <w:rPr>
          <w:rFonts w:asciiTheme="minorHAnsi" w:hAnsiTheme="minorHAnsi" w:cstheme="minorHAnsi"/>
          <w:i/>
          <w:iCs/>
        </w:rPr>
        <w:t>Από τους βασικούς σκοπούς της ITS Hellas είναι η δημιουργία συνθηκών συνεργασίας μεταξύ όλων των εμπλεκόμενων φορέων και ενδιαφερόμενων μερών, η υποστήριξη ή παροχή επιμορφωτικών προγραμμάτων σε θέματα ΕΣΜ, η μεταφορά τεχνογνωσίας, η ανταλλαγή των πληροφοριών και η διάδοση των αποτελεσμάτων της Έρευνας και Ανάπτυξης (Ε&amp;Α). Για την επίτευξη των παραπάνω σκοπών η ITS Hellas ξεκίνησε το 2015 τη διοργάνωση της ετήσιας Διημερίδας της, η οποία είναι αφιερωμένη στα Ευφυή Συστήματα Μεταφορών</w:t>
      </w:r>
      <w:r w:rsidR="007618CD">
        <w:rPr>
          <w:rFonts w:asciiTheme="minorHAnsi" w:hAnsiTheme="minorHAnsi" w:cstheme="minorHAnsi"/>
          <w:i/>
          <w:iCs/>
        </w:rPr>
        <w:t xml:space="preserve">. </w:t>
      </w:r>
    </w:p>
    <w:sectPr w:rsidR="00EE3F29" w:rsidRPr="007618CD" w:rsidSect="00720DF7">
      <w:headerReference w:type="default" r:id="rId14"/>
      <w:footerReference w:type="default" r:id="rId15"/>
      <w:headerReference w:type="first" r:id="rId16"/>
      <w:pgSz w:w="12240" w:h="15840"/>
      <w:pgMar w:top="1440" w:right="126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1BD7" w14:textId="77777777" w:rsidR="007623FF" w:rsidRDefault="007623FF" w:rsidP="00FE2B4A">
      <w:r>
        <w:separator/>
      </w:r>
    </w:p>
  </w:endnote>
  <w:endnote w:type="continuationSeparator" w:id="0">
    <w:p w14:paraId="1F639D17" w14:textId="77777777" w:rsidR="007623FF" w:rsidRDefault="007623FF" w:rsidP="00FE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5C04" w14:textId="7AA2488C" w:rsidR="00E937C2" w:rsidRDefault="00E937C2" w:rsidP="00E937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95DC" w14:textId="77777777" w:rsidR="007623FF" w:rsidRDefault="007623FF" w:rsidP="00FE2B4A">
      <w:r>
        <w:separator/>
      </w:r>
    </w:p>
  </w:footnote>
  <w:footnote w:type="continuationSeparator" w:id="0">
    <w:p w14:paraId="4218EB16" w14:textId="77777777" w:rsidR="007623FF" w:rsidRDefault="007623FF" w:rsidP="00FE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2566" w14:textId="5B2340A1" w:rsidR="00E937C2" w:rsidRDefault="00E937C2" w:rsidP="00E937C2">
    <w:pPr>
      <w:pStyle w:val="Header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08643457" wp14:editId="068A6E74">
          <wp:extent cx="2118360" cy="1350454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S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884" cy="140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 w:rsidR="00D902EE">
      <w:t xml:space="preserve">                       </w:t>
    </w:r>
    <w:r w:rsidR="00D902EE">
      <w:rPr>
        <w:rFonts w:ascii="Verdana" w:hAnsi="Verdana"/>
        <w:noProof/>
        <w:sz w:val="20"/>
        <w:szCs w:val="20"/>
        <w:lang w:val="en-US" w:eastAsia="en-US"/>
      </w:rPr>
      <w:drawing>
        <wp:inline distT="0" distB="0" distL="0" distR="0" wp14:anchorId="0106EABC" wp14:editId="0167D184">
          <wp:extent cx="1292169" cy="733425"/>
          <wp:effectExtent l="0" t="0" r="381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ts_logoCROP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335" cy="741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02EE">
      <w:rPr>
        <w:lang w:val="en-US"/>
      </w:rPr>
      <w:t xml:space="preserve">   </w:t>
    </w:r>
    <w:r>
      <w:rPr>
        <w:lang w:val="en-US"/>
      </w:rPr>
      <w:t xml:space="preserve">   </w:t>
    </w:r>
    <w:r>
      <w:rPr>
        <w:noProof/>
        <w:lang w:val="en-US" w:eastAsia="en-US"/>
      </w:rPr>
      <w:drawing>
        <wp:inline distT="0" distB="0" distL="0" distR="0" wp14:anchorId="63FA93F8" wp14:editId="65F9E787">
          <wp:extent cx="830580" cy="1056795"/>
          <wp:effectExtent l="0" t="0" r="762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ccs_isense logo_v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526" cy="106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5137A6" w14:textId="0DDAB60A" w:rsidR="00E937C2" w:rsidRDefault="00E937C2" w:rsidP="00E937C2">
    <w:pPr>
      <w:pStyle w:val="Header"/>
      <w:rPr>
        <w:lang w:val="en-US"/>
      </w:rPr>
    </w:pPr>
  </w:p>
  <w:p w14:paraId="1A864546" w14:textId="77777777" w:rsidR="00E937C2" w:rsidRDefault="00E937C2" w:rsidP="00E93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6B39" w14:textId="77777777" w:rsidR="00720DF7" w:rsidRDefault="00720D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3F6B"/>
    <w:multiLevelType w:val="hybridMultilevel"/>
    <w:tmpl w:val="47167690"/>
    <w:lvl w:ilvl="0" w:tplc="F050B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25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02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A2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8F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48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E8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2E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AE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C4D3D"/>
    <w:multiLevelType w:val="multilevel"/>
    <w:tmpl w:val="B20C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E7EED"/>
    <w:multiLevelType w:val="hybridMultilevel"/>
    <w:tmpl w:val="FAF2CB4C"/>
    <w:lvl w:ilvl="0" w:tplc="609CA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545BF"/>
    <w:multiLevelType w:val="hybridMultilevel"/>
    <w:tmpl w:val="DED88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27105"/>
    <w:multiLevelType w:val="hybridMultilevel"/>
    <w:tmpl w:val="546AF3B6"/>
    <w:lvl w:ilvl="0" w:tplc="A4AE5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3E"/>
    <w:rsid w:val="00026143"/>
    <w:rsid w:val="00027FFE"/>
    <w:rsid w:val="000558B7"/>
    <w:rsid w:val="000616A0"/>
    <w:rsid w:val="00086FA8"/>
    <w:rsid w:val="000B20CB"/>
    <w:rsid w:val="000D38A5"/>
    <w:rsid w:val="000E443E"/>
    <w:rsid w:val="001232B8"/>
    <w:rsid w:val="00141336"/>
    <w:rsid w:val="001660CA"/>
    <w:rsid w:val="00167717"/>
    <w:rsid w:val="001A67A4"/>
    <w:rsid w:val="001F212A"/>
    <w:rsid w:val="0026036C"/>
    <w:rsid w:val="00263EBC"/>
    <w:rsid w:val="00265ABA"/>
    <w:rsid w:val="002F4FD3"/>
    <w:rsid w:val="003F0222"/>
    <w:rsid w:val="00441CEF"/>
    <w:rsid w:val="004619CC"/>
    <w:rsid w:val="00470A72"/>
    <w:rsid w:val="00473E30"/>
    <w:rsid w:val="00501516"/>
    <w:rsid w:val="00557286"/>
    <w:rsid w:val="006662FB"/>
    <w:rsid w:val="0067160E"/>
    <w:rsid w:val="00680841"/>
    <w:rsid w:val="0068304A"/>
    <w:rsid w:val="00691D7B"/>
    <w:rsid w:val="00704ECF"/>
    <w:rsid w:val="00720DF7"/>
    <w:rsid w:val="00751D9B"/>
    <w:rsid w:val="007618CD"/>
    <w:rsid w:val="007623FF"/>
    <w:rsid w:val="0076738C"/>
    <w:rsid w:val="00784A97"/>
    <w:rsid w:val="007B42C1"/>
    <w:rsid w:val="007B5EF4"/>
    <w:rsid w:val="007E0145"/>
    <w:rsid w:val="007E32B4"/>
    <w:rsid w:val="007F2E0B"/>
    <w:rsid w:val="00800419"/>
    <w:rsid w:val="008642C8"/>
    <w:rsid w:val="008644B9"/>
    <w:rsid w:val="008A30D1"/>
    <w:rsid w:val="008E7FDC"/>
    <w:rsid w:val="0097383C"/>
    <w:rsid w:val="009F21EC"/>
    <w:rsid w:val="00A13C25"/>
    <w:rsid w:val="00A26F90"/>
    <w:rsid w:val="00A35640"/>
    <w:rsid w:val="00A4520F"/>
    <w:rsid w:val="00A616CA"/>
    <w:rsid w:val="00A65187"/>
    <w:rsid w:val="00A71CF2"/>
    <w:rsid w:val="00A91894"/>
    <w:rsid w:val="00B47E06"/>
    <w:rsid w:val="00B572F5"/>
    <w:rsid w:val="00B934C6"/>
    <w:rsid w:val="00BD1361"/>
    <w:rsid w:val="00C02817"/>
    <w:rsid w:val="00C458D9"/>
    <w:rsid w:val="00C61DCB"/>
    <w:rsid w:val="00C7093B"/>
    <w:rsid w:val="00C94D88"/>
    <w:rsid w:val="00CE13E4"/>
    <w:rsid w:val="00D672F5"/>
    <w:rsid w:val="00D87D33"/>
    <w:rsid w:val="00D902EE"/>
    <w:rsid w:val="00D95988"/>
    <w:rsid w:val="00E0344D"/>
    <w:rsid w:val="00E05F3E"/>
    <w:rsid w:val="00E623A3"/>
    <w:rsid w:val="00E8636B"/>
    <w:rsid w:val="00E937C2"/>
    <w:rsid w:val="00EC4613"/>
    <w:rsid w:val="00ED3321"/>
    <w:rsid w:val="00ED57F4"/>
    <w:rsid w:val="00EE3F29"/>
    <w:rsid w:val="00F322BC"/>
    <w:rsid w:val="00F378DC"/>
    <w:rsid w:val="00F73243"/>
    <w:rsid w:val="00F80C80"/>
    <w:rsid w:val="00F95A4D"/>
    <w:rsid w:val="00F9702E"/>
    <w:rsid w:val="00FD05FF"/>
    <w:rsid w:val="00FD707D"/>
    <w:rsid w:val="00FE2B4A"/>
    <w:rsid w:val="08342D18"/>
    <w:rsid w:val="091DC3A9"/>
    <w:rsid w:val="0B6CE454"/>
    <w:rsid w:val="15204FB5"/>
    <w:rsid w:val="1AF015CD"/>
    <w:rsid w:val="2FFE2A4A"/>
    <w:rsid w:val="55FF1EE5"/>
    <w:rsid w:val="63B6B91F"/>
    <w:rsid w:val="76D6A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441334"/>
  <w15:chartTrackingRefBased/>
  <w15:docId w15:val="{BE69FBAE-53C9-4D4C-BA41-18A498BE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44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B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B4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FE2B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B4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Emphasis">
    <w:name w:val="Emphasis"/>
    <w:basedOn w:val="DefaultParagraphFont"/>
    <w:uiPriority w:val="20"/>
    <w:qFormat/>
    <w:rsid w:val="00B934C6"/>
    <w:rPr>
      <w:i/>
      <w:iCs/>
    </w:rPr>
  </w:style>
  <w:style w:type="character" w:styleId="Strong">
    <w:name w:val="Strong"/>
    <w:basedOn w:val="DefaultParagraphFont"/>
    <w:uiPriority w:val="22"/>
    <w:qFormat/>
    <w:rsid w:val="00D95988"/>
    <w:rPr>
      <w:b/>
      <w:bCs/>
    </w:rPr>
  </w:style>
  <w:style w:type="paragraph" w:styleId="ListParagraph">
    <w:name w:val="List Paragraph"/>
    <w:basedOn w:val="Normal"/>
    <w:uiPriority w:val="34"/>
    <w:qFormat/>
    <w:rsid w:val="00470A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5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-sense.iccs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shellas2021-conference.g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B05C-5816-4732-96F3-67917764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Nantia Skepetari</dc:creator>
  <cp:keywords/>
  <dc:description/>
  <cp:lastModifiedBy>jo do</cp:lastModifiedBy>
  <cp:revision>2</cp:revision>
  <dcterms:created xsi:type="dcterms:W3CDTF">2022-01-22T08:07:00Z</dcterms:created>
  <dcterms:modified xsi:type="dcterms:W3CDTF">2022-01-22T08:07:00Z</dcterms:modified>
</cp:coreProperties>
</file>